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C0F" w14:textId="56563E64" w:rsidR="003F5F9A" w:rsidRPr="003F5F9A" w:rsidRDefault="003F5F9A" w:rsidP="003F5F9A">
      <w:pPr>
        <w:rPr>
          <w:b/>
          <w:bCs/>
          <w:sz w:val="40"/>
          <w:szCs w:val="40"/>
        </w:rPr>
      </w:pPr>
      <w:r w:rsidRPr="003F5F9A">
        <w:rPr>
          <w:b/>
          <w:bCs/>
          <w:sz w:val="40"/>
          <w:szCs w:val="40"/>
          <w:rtl/>
        </w:rPr>
        <w:br/>
      </w:r>
      <w:r w:rsidRPr="003F5F9A">
        <w:rPr>
          <w:rFonts w:hint="cs"/>
          <w:b/>
          <w:bCs/>
          <w:sz w:val="40"/>
          <w:szCs w:val="40"/>
          <w:rtl/>
        </w:rPr>
        <w:t>تعميم القرار</w:t>
      </w:r>
      <w:r w:rsidRPr="003F5F9A">
        <w:rPr>
          <w:b/>
          <w:bCs/>
          <w:sz w:val="40"/>
          <w:szCs w:val="40"/>
          <w:rtl/>
        </w:rPr>
        <w:t xml:space="preserve"> </w:t>
      </w:r>
      <w:r w:rsidRPr="003F5F9A">
        <w:rPr>
          <w:rFonts w:hint="cs"/>
          <w:b/>
          <w:bCs/>
          <w:sz w:val="40"/>
          <w:szCs w:val="40"/>
          <w:rtl/>
        </w:rPr>
        <w:t>ال</w:t>
      </w:r>
      <w:r w:rsidRPr="003F5F9A">
        <w:rPr>
          <w:b/>
          <w:bCs/>
          <w:sz w:val="40"/>
          <w:szCs w:val="40"/>
          <w:rtl/>
        </w:rPr>
        <w:t>تنظيمي</w:t>
      </w:r>
      <w:r w:rsidRPr="003F5F9A">
        <w:rPr>
          <w:rFonts w:hint="cs"/>
          <w:b/>
          <w:bCs/>
          <w:sz w:val="40"/>
          <w:szCs w:val="40"/>
          <w:rtl/>
        </w:rPr>
        <w:t xml:space="preserve"> لنسة 2018 </w:t>
      </w:r>
      <w:r w:rsidRPr="003F5F9A">
        <w:rPr>
          <w:b/>
          <w:bCs/>
          <w:sz w:val="40"/>
          <w:szCs w:val="40"/>
          <w:rtl/>
        </w:rPr>
        <w:t xml:space="preserve"> بمضمون المواد رقم (١٦) و (</w:t>
      </w:r>
      <w:r w:rsidRPr="003F5F9A">
        <w:rPr>
          <w:b/>
          <w:bCs/>
          <w:sz w:val="40"/>
          <w:szCs w:val="40"/>
          <w:rtl/>
          <w:lang w:bidi="fa-IR"/>
        </w:rPr>
        <w:t xml:space="preserve">۱۷) </w:t>
      </w:r>
      <w:r w:rsidRPr="003F5F9A">
        <w:rPr>
          <w:b/>
          <w:bCs/>
          <w:sz w:val="40"/>
          <w:szCs w:val="40"/>
          <w:rtl/>
        </w:rPr>
        <w:t>و(</w:t>
      </w:r>
      <w:r w:rsidRPr="003F5F9A">
        <w:rPr>
          <w:b/>
          <w:bCs/>
          <w:sz w:val="40"/>
          <w:szCs w:val="40"/>
          <w:rtl/>
          <w:lang w:bidi="fa-IR"/>
        </w:rPr>
        <w:t xml:space="preserve">۲۲) </w:t>
      </w:r>
      <w:r w:rsidRPr="003F5F9A">
        <w:rPr>
          <w:b/>
          <w:bCs/>
          <w:sz w:val="40"/>
          <w:szCs w:val="40"/>
          <w:rtl/>
        </w:rPr>
        <w:t>من تعليمات تداول الأوراق المالية في بورصة عمان لسنة ٢٠٠٤</w:t>
      </w:r>
    </w:p>
    <w:p w14:paraId="7A66B0AD" w14:textId="77777777" w:rsidR="003F5F9A" w:rsidRPr="003F5F9A" w:rsidRDefault="003F5F9A" w:rsidP="003F5F9A">
      <w:pPr>
        <w:rPr>
          <w:sz w:val="40"/>
          <w:szCs w:val="40"/>
          <w:rtl/>
        </w:rPr>
      </w:pPr>
    </w:p>
    <w:p w14:paraId="25FEB504" w14:textId="4BB042E2" w:rsidR="003F5F9A" w:rsidRPr="003F5F9A" w:rsidRDefault="003F5F9A" w:rsidP="003F5F9A">
      <w:pPr>
        <w:rPr>
          <w:sz w:val="40"/>
          <w:szCs w:val="40"/>
          <w:rtl/>
        </w:rPr>
      </w:pPr>
      <w:r w:rsidRPr="003F5F9A">
        <w:rPr>
          <w:sz w:val="40"/>
          <w:szCs w:val="40"/>
          <w:rtl/>
        </w:rPr>
        <w:t>بالاشارة الى صدور قرار مجلس المفوضين رقم (</w:t>
      </w:r>
      <w:r w:rsidRPr="003F5F9A">
        <w:rPr>
          <w:sz w:val="40"/>
          <w:szCs w:val="40"/>
          <w:rtl/>
          <w:lang w:bidi="fa-IR"/>
        </w:rPr>
        <w:t>۲۰۱۸/۲۲</w:t>
      </w:r>
      <w:r w:rsidRPr="003F5F9A">
        <w:rPr>
          <w:sz w:val="40"/>
          <w:szCs w:val="40"/>
          <w:rtl/>
        </w:rPr>
        <w:t xml:space="preserve">٤) تاريخ </w:t>
      </w:r>
      <w:r w:rsidRPr="003F5F9A">
        <w:rPr>
          <w:sz w:val="40"/>
          <w:szCs w:val="40"/>
          <w:rtl/>
          <w:lang w:bidi="fa-IR"/>
        </w:rPr>
        <w:t>۲۰۱۸/۷/</w:t>
      </w:r>
      <w:r w:rsidRPr="003F5F9A">
        <w:rPr>
          <w:sz w:val="40"/>
          <w:szCs w:val="40"/>
          <w:rtl/>
        </w:rPr>
        <w:t xml:space="preserve">٥، المتضمن الموافقة على تعليمات تداول الأوراق المالية في شركة بورصة عمان لسنة </w:t>
      </w:r>
      <w:r w:rsidRPr="003F5F9A">
        <w:rPr>
          <w:sz w:val="40"/>
          <w:szCs w:val="40"/>
          <w:rtl/>
          <w:lang w:bidi="fa-IR"/>
        </w:rPr>
        <w:t>۲۰۱</w:t>
      </w:r>
      <w:r w:rsidRPr="003F5F9A">
        <w:rPr>
          <w:sz w:val="40"/>
          <w:szCs w:val="40"/>
          <w:rtl/>
        </w:rPr>
        <w:t xml:space="preserve">٨، وإلغاء تعليمات تداول الأوراق المالية في بورصة عمان لسنة </w:t>
      </w:r>
      <w:r w:rsidRPr="003F5F9A">
        <w:rPr>
          <w:sz w:val="40"/>
          <w:szCs w:val="40"/>
          <w:rtl/>
          <w:lang w:bidi="fa-IR"/>
        </w:rPr>
        <w:t>۲۰۰</w:t>
      </w:r>
      <w:r w:rsidRPr="003F5F9A">
        <w:rPr>
          <w:sz w:val="40"/>
          <w:szCs w:val="40"/>
          <w:rtl/>
        </w:rPr>
        <w:t>٤ والتي تتضمن المواد رقم (١٦) و (</w:t>
      </w:r>
      <w:r w:rsidRPr="003F5F9A">
        <w:rPr>
          <w:sz w:val="40"/>
          <w:szCs w:val="40"/>
          <w:rtl/>
          <w:lang w:bidi="fa-IR"/>
        </w:rPr>
        <w:t xml:space="preserve">۱۷) </w:t>
      </w:r>
      <w:r w:rsidRPr="003F5F9A">
        <w:rPr>
          <w:sz w:val="40"/>
          <w:szCs w:val="40"/>
          <w:rtl/>
        </w:rPr>
        <w:t>و (</w:t>
      </w:r>
      <w:r w:rsidRPr="003F5F9A">
        <w:rPr>
          <w:sz w:val="40"/>
          <w:szCs w:val="40"/>
          <w:rtl/>
          <w:lang w:bidi="fa-IR"/>
        </w:rPr>
        <w:t xml:space="preserve">۲۲) </w:t>
      </w:r>
      <w:r w:rsidRPr="003F5F9A">
        <w:rPr>
          <w:sz w:val="40"/>
          <w:szCs w:val="40"/>
          <w:rtl/>
        </w:rPr>
        <w:t>، واستناداً الى أحكام المادة (</w:t>
      </w:r>
      <w:r w:rsidRPr="003F5F9A">
        <w:rPr>
          <w:sz w:val="40"/>
          <w:szCs w:val="40"/>
          <w:rtl/>
          <w:lang w:bidi="fa-IR"/>
        </w:rPr>
        <w:t xml:space="preserve">۱۲) </w:t>
      </w:r>
      <w:r w:rsidRPr="003F5F9A">
        <w:rPr>
          <w:sz w:val="40"/>
          <w:szCs w:val="40"/>
          <w:rtl/>
        </w:rPr>
        <w:t>ص ) من قانون الأوراق المالية رقم (</w:t>
      </w:r>
      <w:r w:rsidRPr="003F5F9A">
        <w:rPr>
          <w:sz w:val="40"/>
          <w:szCs w:val="40"/>
          <w:rtl/>
          <w:lang w:bidi="fa-IR"/>
        </w:rPr>
        <w:t xml:space="preserve">۱۸) </w:t>
      </w:r>
      <w:r w:rsidRPr="003F5F9A">
        <w:rPr>
          <w:sz w:val="40"/>
          <w:szCs w:val="40"/>
          <w:rtl/>
        </w:rPr>
        <w:t>لسنة ،</w:t>
      </w:r>
      <w:r w:rsidRPr="003F5F9A">
        <w:rPr>
          <w:sz w:val="40"/>
          <w:szCs w:val="40"/>
          <w:rtl/>
          <w:lang w:bidi="fa-IR"/>
        </w:rPr>
        <w:t>۲۰۱۷</w:t>
      </w:r>
      <w:r w:rsidRPr="003F5F9A">
        <w:rPr>
          <w:sz w:val="40"/>
          <w:szCs w:val="40"/>
          <w:rtl/>
        </w:rPr>
        <w:t xml:space="preserve"> قرر المجلس بقراره رقم (</w:t>
      </w:r>
      <w:r w:rsidRPr="003F5F9A">
        <w:rPr>
          <w:sz w:val="40"/>
          <w:szCs w:val="40"/>
          <w:rtl/>
          <w:lang w:bidi="fa-IR"/>
        </w:rPr>
        <w:t>۲۰۱۸/۲۲۸</w:t>
      </w:r>
      <w:r w:rsidRPr="003F5F9A">
        <w:rPr>
          <w:sz w:val="40"/>
          <w:szCs w:val="40"/>
          <w:rtl/>
        </w:rPr>
        <w:t xml:space="preserve"> تاریخ </w:t>
      </w:r>
      <w:r w:rsidRPr="003F5F9A">
        <w:rPr>
          <w:sz w:val="40"/>
          <w:szCs w:val="40"/>
          <w:rtl/>
          <w:lang w:bidi="fa-IR"/>
        </w:rPr>
        <w:t>۲۰۱۸/۷/۱</w:t>
      </w:r>
      <w:r w:rsidRPr="003F5F9A">
        <w:rPr>
          <w:sz w:val="40"/>
          <w:szCs w:val="40"/>
          <w:rtl/>
        </w:rPr>
        <w:t xml:space="preserve"> اصدار القرار التنظيمي التالي بمضمون المواد المشار اليها أعلاه، وعلى أن يتم العمل به اعتباراً من تاريخ</w:t>
      </w:r>
      <w:r w:rsidRPr="003F5F9A">
        <w:rPr>
          <w:rFonts w:hint="cs"/>
          <w:sz w:val="40"/>
          <w:szCs w:val="40"/>
          <w:rtl/>
        </w:rPr>
        <w:t xml:space="preserve"> 1/9/2018.</w:t>
      </w:r>
    </w:p>
    <w:p w14:paraId="5047EE93" w14:textId="77777777" w:rsidR="003F5F9A" w:rsidRDefault="003F5F9A" w:rsidP="003F5F9A">
      <w:pPr>
        <w:rPr>
          <w:sz w:val="40"/>
          <w:szCs w:val="40"/>
          <w:rtl/>
        </w:rPr>
      </w:pPr>
      <w:r w:rsidRPr="003F5F9A">
        <w:rPr>
          <w:sz w:val="40"/>
          <w:szCs w:val="40"/>
          <w:rtl/>
        </w:rPr>
        <w:t>اولاً: أ- يحظر على الوسيط القيام بأي تصرف يهدف إلى إعطاء صورة مضللة وغير صحيحة عن سعر أي ورقة مالية أو حجم تداولها أو نشاطها بشكل يؤثر على تفاعل قوى العرض والطلب على تلك الورقة المالية.</w:t>
      </w:r>
    </w:p>
    <w:p w14:paraId="56AA7572" w14:textId="5840E3BD" w:rsidR="003F5F9A" w:rsidRPr="003F5F9A" w:rsidRDefault="003F5F9A" w:rsidP="003F5F9A">
      <w:pPr>
        <w:rPr>
          <w:sz w:val="40"/>
          <w:szCs w:val="40"/>
          <w:rtl/>
        </w:rPr>
      </w:pPr>
      <w:r w:rsidRPr="003F5F9A">
        <w:rPr>
          <w:sz w:val="40"/>
          <w:szCs w:val="40"/>
          <w:rtl/>
        </w:rPr>
        <w:t>ب</w:t>
      </w:r>
      <w:r>
        <w:rPr>
          <w:rFonts w:hint="cs"/>
          <w:sz w:val="40"/>
          <w:szCs w:val="40"/>
          <w:rtl/>
        </w:rPr>
        <w:t>-</w:t>
      </w:r>
      <w:r w:rsidRPr="003F5F9A">
        <w:rPr>
          <w:sz w:val="40"/>
          <w:szCs w:val="40"/>
          <w:rtl/>
        </w:rPr>
        <w:t xml:space="preserve"> يلتزم الوسيط بعدم تنفيذ أي عملية لصالح أي من عملائه إذا كانت هذه العملية مخالفة الأحكام الفقرة (أ) من هذا البند.</w:t>
      </w:r>
    </w:p>
    <w:p w14:paraId="4F040BD4" w14:textId="77777777" w:rsidR="003F5F9A" w:rsidRPr="003F5F9A" w:rsidRDefault="003F5F9A" w:rsidP="003F5F9A">
      <w:pPr>
        <w:rPr>
          <w:sz w:val="40"/>
          <w:szCs w:val="40"/>
          <w:rtl/>
        </w:rPr>
      </w:pPr>
      <w:r w:rsidRPr="003F5F9A">
        <w:rPr>
          <w:sz w:val="40"/>
          <w:szCs w:val="40"/>
          <w:rtl/>
        </w:rPr>
        <w:t>ثانياً: أ- يحظر على الوسيط القيام بأي عملية على أي ورقة مالية لصالحه أو لصالح أي من عملائه بناء على معلومات داخلية تتعلق بتلك الورقة المالية أو أي ورقة مالية أخرى</w:t>
      </w:r>
      <w:r w:rsidRPr="003F5F9A">
        <w:rPr>
          <w:rFonts w:hint="cs"/>
          <w:sz w:val="40"/>
          <w:szCs w:val="40"/>
          <w:rtl/>
        </w:rPr>
        <w:t xml:space="preserve"> </w:t>
      </w:r>
      <w:r w:rsidRPr="003F5F9A">
        <w:rPr>
          <w:sz w:val="40"/>
          <w:szCs w:val="40"/>
          <w:rtl/>
        </w:rPr>
        <w:t>مرتبطة بها.</w:t>
      </w:r>
    </w:p>
    <w:p w14:paraId="2781DC04" w14:textId="77777777" w:rsidR="003F5F9A" w:rsidRDefault="003F5F9A" w:rsidP="003F5F9A">
      <w:pPr>
        <w:rPr>
          <w:sz w:val="40"/>
          <w:szCs w:val="40"/>
          <w:rtl/>
        </w:rPr>
      </w:pPr>
      <w:r w:rsidRPr="003F5F9A">
        <w:rPr>
          <w:sz w:val="40"/>
          <w:szCs w:val="40"/>
          <w:rtl/>
        </w:rPr>
        <w:t xml:space="preserve"> ب</w:t>
      </w:r>
      <w:r w:rsidRPr="003F5F9A">
        <w:rPr>
          <w:rFonts w:hint="cs"/>
          <w:sz w:val="40"/>
          <w:szCs w:val="40"/>
          <w:rtl/>
        </w:rPr>
        <w:t>-</w:t>
      </w:r>
      <w:r w:rsidRPr="003F5F9A">
        <w:rPr>
          <w:sz w:val="40"/>
          <w:szCs w:val="40"/>
          <w:rtl/>
        </w:rPr>
        <w:t xml:space="preserve"> مع عدم الإخلال بتعريف المعلومات الداخلية الوارد في قانون الأوراق المالية ، تعتبر المعلومات المشار إليها أدناه معلومات داخلية:-</w:t>
      </w:r>
    </w:p>
    <w:p w14:paraId="0C8B8D69" w14:textId="3BE2496A" w:rsidR="003F5F9A" w:rsidRPr="003F5F9A" w:rsidRDefault="003F5F9A" w:rsidP="003F5F9A">
      <w:pPr>
        <w:rPr>
          <w:sz w:val="40"/>
          <w:szCs w:val="40"/>
          <w:rtl/>
        </w:rPr>
      </w:pPr>
      <w:r w:rsidRPr="003F5F9A">
        <w:rPr>
          <w:sz w:val="40"/>
          <w:szCs w:val="40"/>
          <w:rtl/>
        </w:rPr>
        <w:lastRenderedPageBreak/>
        <w:t>1- المعلومات المتعلقة بنية أي شخص لتنفيذ عمليات بيع أو شراء بكميات كبيرة</w:t>
      </w:r>
      <w:r w:rsidRPr="003F5F9A">
        <w:rPr>
          <w:rFonts w:hint="cs"/>
          <w:sz w:val="40"/>
          <w:szCs w:val="40"/>
          <w:rtl/>
        </w:rPr>
        <w:t xml:space="preserve"> </w:t>
      </w:r>
      <w:r w:rsidRPr="003F5F9A">
        <w:rPr>
          <w:sz w:val="40"/>
          <w:szCs w:val="40"/>
          <w:rtl/>
        </w:rPr>
        <w:t>على ورقة مالية معينة أو قيامه فعلاً بتلك العمليات.</w:t>
      </w:r>
    </w:p>
    <w:p w14:paraId="60BCAA6B" w14:textId="77777777" w:rsidR="003F5F9A" w:rsidRPr="003F5F9A" w:rsidRDefault="003F5F9A" w:rsidP="003F5F9A">
      <w:pPr>
        <w:rPr>
          <w:sz w:val="40"/>
          <w:szCs w:val="40"/>
          <w:rtl/>
        </w:rPr>
      </w:pPr>
      <w:r w:rsidRPr="003F5F9A">
        <w:rPr>
          <w:sz w:val="40"/>
          <w:szCs w:val="40"/>
          <w:rtl/>
        </w:rPr>
        <w:t>٢ - الاستشارة المالية المعدة من قبل الوسيط قبل نشرها.</w:t>
      </w:r>
    </w:p>
    <w:p w14:paraId="428FF5B0" w14:textId="77777777" w:rsidR="003F5F9A" w:rsidRDefault="003F5F9A" w:rsidP="003F5F9A">
      <w:pPr>
        <w:rPr>
          <w:sz w:val="40"/>
          <w:szCs w:val="40"/>
          <w:rtl/>
        </w:rPr>
      </w:pPr>
      <w:r w:rsidRPr="003F5F9A">
        <w:rPr>
          <w:sz w:val="40"/>
          <w:szCs w:val="40"/>
          <w:rtl/>
        </w:rPr>
        <w:t>ج- يحظر على الوسيط تقديم أي استشارة مالية لأي شخص بناءً على معلومات داخلية.</w:t>
      </w:r>
    </w:p>
    <w:p w14:paraId="22FC835B" w14:textId="1FE8800E" w:rsidR="003F5F9A" w:rsidRPr="003F5F9A" w:rsidRDefault="003F5F9A" w:rsidP="003F5F9A">
      <w:pPr>
        <w:rPr>
          <w:rFonts w:hint="cs"/>
          <w:sz w:val="40"/>
          <w:szCs w:val="40"/>
          <w:rtl/>
        </w:rPr>
      </w:pPr>
      <w:r w:rsidRPr="003F5F9A">
        <w:rPr>
          <w:sz w:val="40"/>
          <w:szCs w:val="40"/>
          <w:rtl/>
        </w:rPr>
        <w:t>د</w:t>
      </w:r>
      <w:r>
        <w:rPr>
          <w:rFonts w:hint="cs"/>
          <w:sz w:val="40"/>
          <w:szCs w:val="40"/>
          <w:rtl/>
        </w:rPr>
        <w:t>-</w:t>
      </w:r>
      <w:r w:rsidRPr="003F5F9A">
        <w:rPr>
          <w:sz w:val="40"/>
          <w:szCs w:val="40"/>
          <w:rtl/>
        </w:rPr>
        <w:t xml:space="preserve"> يحظر على الوسيط تنفيذ أي أمر لصالح أي من عملائه إذا علم الوسيط أن الأمر مبني على اية معلومات داخلية</w:t>
      </w:r>
      <w:r w:rsidRPr="003F5F9A">
        <w:rPr>
          <w:rFonts w:hint="cs"/>
          <w:sz w:val="40"/>
          <w:szCs w:val="40"/>
          <w:rtl/>
        </w:rPr>
        <w:t>.</w:t>
      </w:r>
    </w:p>
    <w:p w14:paraId="037B1861" w14:textId="35855AA6" w:rsidR="003F5F9A" w:rsidRPr="003F5F9A" w:rsidRDefault="003F5F9A" w:rsidP="003F5F9A">
      <w:pPr>
        <w:rPr>
          <w:sz w:val="40"/>
          <w:szCs w:val="40"/>
          <w:rtl/>
        </w:rPr>
      </w:pPr>
      <w:r w:rsidRPr="003F5F9A">
        <w:rPr>
          <w:sz w:val="40"/>
          <w:szCs w:val="40"/>
          <w:rtl/>
        </w:rPr>
        <w:t>ثالثاً: أ- فيما عدا الأحوال التي يقررها مجلس المفوضين يمنع على الوسيط والأشخاص المرتبطين به بمن فيهم المعتمدين التداول بالأوراق المالية إلا من خلال الوسيط</w:t>
      </w:r>
      <w:r w:rsidRPr="003F5F9A">
        <w:rPr>
          <w:rFonts w:hint="cs"/>
          <w:sz w:val="40"/>
          <w:szCs w:val="40"/>
          <w:rtl/>
        </w:rPr>
        <w:t xml:space="preserve"> </w:t>
      </w:r>
      <w:r w:rsidRPr="003F5F9A">
        <w:rPr>
          <w:sz w:val="40"/>
          <w:szCs w:val="40"/>
          <w:rtl/>
        </w:rPr>
        <w:t>نفسه</w:t>
      </w:r>
      <w:r>
        <w:rPr>
          <w:rFonts w:hint="cs"/>
          <w:sz w:val="40"/>
          <w:szCs w:val="40"/>
          <w:rtl/>
        </w:rPr>
        <w:t>.</w:t>
      </w:r>
    </w:p>
    <w:p w14:paraId="2462EB5A" w14:textId="12F6B8BB" w:rsidR="003F5F9A" w:rsidRPr="003F5F9A" w:rsidRDefault="003F5F9A" w:rsidP="003F5F9A">
      <w:pPr>
        <w:rPr>
          <w:sz w:val="40"/>
          <w:szCs w:val="40"/>
          <w:rtl/>
        </w:rPr>
      </w:pPr>
      <w:r w:rsidRPr="003F5F9A">
        <w:rPr>
          <w:sz w:val="40"/>
          <w:szCs w:val="40"/>
          <w:rtl/>
        </w:rPr>
        <w:t>ب</w:t>
      </w:r>
      <w:r>
        <w:rPr>
          <w:rFonts w:hint="cs"/>
          <w:sz w:val="40"/>
          <w:szCs w:val="40"/>
          <w:rtl/>
        </w:rPr>
        <w:t xml:space="preserve">- </w:t>
      </w:r>
      <w:r w:rsidRPr="003F5F9A">
        <w:rPr>
          <w:sz w:val="40"/>
          <w:szCs w:val="40"/>
          <w:rtl/>
        </w:rPr>
        <w:t>لا يسري المنع المنصوص عليه بالفقرة (أ) من هذا البند بالنسبة للأشخاص المرتبطين بالوسيط على الأشخاص الاعتباريين وإنما على ممثليهم.</w:t>
      </w:r>
    </w:p>
    <w:p w14:paraId="01EB9252" w14:textId="77777777" w:rsidR="003F5F9A" w:rsidRPr="003F5F9A" w:rsidRDefault="003F5F9A" w:rsidP="003F5F9A">
      <w:pPr>
        <w:rPr>
          <w:sz w:val="40"/>
          <w:szCs w:val="40"/>
          <w:rtl/>
        </w:rPr>
      </w:pPr>
      <w:r w:rsidRPr="003F5F9A">
        <w:rPr>
          <w:sz w:val="40"/>
          <w:szCs w:val="40"/>
          <w:rtl/>
        </w:rPr>
        <w:t>ج- لا يجوز لأي معتمد أو موظف في شركة خدمات مالية أن يكون مفوضاً عن أي حساب لدى الشركة أو أي شركة أخرى.</w:t>
      </w:r>
    </w:p>
    <w:p w14:paraId="5546D771" w14:textId="77777777" w:rsidR="009744FE" w:rsidRPr="003F5F9A" w:rsidRDefault="009744FE">
      <w:pPr>
        <w:rPr>
          <w:sz w:val="40"/>
          <w:szCs w:val="40"/>
        </w:rPr>
      </w:pPr>
    </w:p>
    <w:sectPr w:rsidR="009744FE" w:rsidRPr="003F5F9A"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9A"/>
    <w:rsid w:val="001C2426"/>
    <w:rsid w:val="003F5F9A"/>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47FE"/>
  <w15:chartTrackingRefBased/>
  <w15:docId w15:val="{58ABCE2B-A38C-47BD-87F4-D03FBB86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880">
      <w:bodyDiv w:val="1"/>
      <w:marLeft w:val="0"/>
      <w:marRight w:val="0"/>
      <w:marTop w:val="0"/>
      <w:marBottom w:val="0"/>
      <w:divBdr>
        <w:top w:val="none" w:sz="0" w:space="0" w:color="auto"/>
        <w:left w:val="none" w:sz="0" w:space="0" w:color="auto"/>
        <w:bottom w:val="none" w:sz="0" w:space="0" w:color="auto"/>
        <w:right w:val="none" w:sz="0" w:space="0" w:color="auto"/>
      </w:divBdr>
      <w:divsChild>
        <w:div w:id="743573431">
          <w:marLeft w:val="0"/>
          <w:marRight w:val="0"/>
          <w:marTop w:val="0"/>
          <w:marBottom w:val="0"/>
          <w:divBdr>
            <w:top w:val="single" w:sz="2" w:space="0" w:color="auto"/>
            <w:left w:val="single" w:sz="2" w:space="0" w:color="auto"/>
            <w:bottom w:val="single" w:sz="2" w:space="0" w:color="auto"/>
            <w:right w:val="single" w:sz="2" w:space="0" w:color="auto"/>
          </w:divBdr>
        </w:div>
        <w:div w:id="2125614336">
          <w:marLeft w:val="0"/>
          <w:marRight w:val="0"/>
          <w:marTop w:val="0"/>
          <w:marBottom w:val="0"/>
          <w:divBdr>
            <w:top w:val="single" w:sz="2" w:space="0" w:color="auto"/>
            <w:left w:val="single" w:sz="2" w:space="0" w:color="auto"/>
            <w:bottom w:val="single" w:sz="2" w:space="0" w:color="auto"/>
            <w:right w:val="single" w:sz="2" w:space="0" w:color="auto"/>
          </w:divBdr>
        </w:div>
        <w:div w:id="493953066">
          <w:marLeft w:val="0"/>
          <w:marRight w:val="0"/>
          <w:marTop w:val="0"/>
          <w:marBottom w:val="0"/>
          <w:divBdr>
            <w:top w:val="single" w:sz="2" w:space="0" w:color="auto"/>
            <w:left w:val="single" w:sz="2" w:space="0" w:color="auto"/>
            <w:bottom w:val="single" w:sz="2" w:space="0" w:color="auto"/>
            <w:right w:val="single" w:sz="2" w:space="0" w:color="auto"/>
          </w:divBdr>
        </w:div>
        <w:div w:id="255406105">
          <w:marLeft w:val="0"/>
          <w:marRight w:val="0"/>
          <w:marTop w:val="0"/>
          <w:marBottom w:val="0"/>
          <w:divBdr>
            <w:top w:val="single" w:sz="2" w:space="0" w:color="auto"/>
            <w:left w:val="single" w:sz="2" w:space="0" w:color="auto"/>
            <w:bottom w:val="single" w:sz="2" w:space="0" w:color="auto"/>
            <w:right w:val="single" w:sz="2" w:space="0" w:color="auto"/>
          </w:divBdr>
        </w:div>
        <w:div w:id="1302543134">
          <w:marLeft w:val="0"/>
          <w:marRight w:val="0"/>
          <w:marTop w:val="0"/>
          <w:marBottom w:val="0"/>
          <w:divBdr>
            <w:top w:val="single" w:sz="2" w:space="0" w:color="auto"/>
            <w:left w:val="single" w:sz="2" w:space="0" w:color="auto"/>
            <w:bottom w:val="single" w:sz="2" w:space="0" w:color="auto"/>
            <w:right w:val="single" w:sz="2" w:space="0" w:color="auto"/>
          </w:divBdr>
        </w:div>
      </w:divsChild>
    </w:div>
    <w:div w:id="1420180236">
      <w:bodyDiv w:val="1"/>
      <w:marLeft w:val="0"/>
      <w:marRight w:val="0"/>
      <w:marTop w:val="0"/>
      <w:marBottom w:val="0"/>
      <w:divBdr>
        <w:top w:val="none" w:sz="0" w:space="0" w:color="auto"/>
        <w:left w:val="none" w:sz="0" w:space="0" w:color="auto"/>
        <w:bottom w:val="none" w:sz="0" w:space="0" w:color="auto"/>
        <w:right w:val="none" w:sz="0" w:space="0" w:color="auto"/>
      </w:divBdr>
      <w:divsChild>
        <w:div w:id="981538817">
          <w:marLeft w:val="0"/>
          <w:marRight w:val="0"/>
          <w:marTop w:val="0"/>
          <w:marBottom w:val="0"/>
          <w:divBdr>
            <w:top w:val="single" w:sz="2" w:space="0" w:color="auto"/>
            <w:left w:val="single" w:sz="2" w:space="0" w:color="auto"/>
            <w:bottom w:val="single" w:sz="2" w:space="0" w:color="auto"/>
            <w:right w:val="single" w:sz="2" w:space="0" w:color="auto"/>
          </w:divBdr>
        </w:div>
        <w:div w:id="1935047868">
          <w:marLeft w:val="0"/>
          <w:marRight w:val="0"/>
          <w:marTop w:val="0"/>
          <w:marBottom w:val="0"/>
          <w:divBdr>
            <w:top w:val="single" w:sz="2" w:space="0" w:color="auto"/>
            <w:left w:val="single" w:sz="2" w:space="0" w:color="auto"/>
            <w:bottom w:val="single" w:sz="2" w:space="0" w:color="auto"/>
            <w:right w:val="single" w:sz="2" w:space="0" w:color="auto"/>
          </w:divBdr>
        </w:div>
        <w:div w:id="1811556512">
          <w:marLeft w:val="0"/>
          <w:marRight w:val="0"/>
          <w:marTop w:val="0"/>
          <w:marBottom w:val="0"/>
          <w:divBdr>
            <w:top w:val="single" w:sz="2" w:space="0" w:color="auto"/>
            <w:left w:val="single" w:sz="2" w:space="0" w:color="auto"/>
            <w:bottom w:val="single" w:sz="2" w:space="0" w:color="auto"/>
            <w:right w:val="single" w:sz="2" w:space="0" w:color="auto"/>
          </w:divBdr>
        </w:div>
        <w:div w:id="620889116">
          <w:marLeft w:val="0"/>
          <w:marRight w:val="0"/>
          <w:marTop w:val="0"/>
          <w:marBottom w:val="0"/>
          <w:divBdr>
            <w:top w:val="single" w:sz="2" w:space="0" w:color="auto"/>
            <w:left w:val="single" w:sz="2" w:space="0" w:color="auto"/>
            <w:bottom w:val="single" w:sz="2" w:space="0" w:color="auto"/>
            <w:right w:val="single" w:sz="2" w:space="0" w:color="auto"/>
          </w:divBdr>
        </w:div>
        <w:div w:id="799959542">
          <w:marLeft w:val="0"/>
          <w:marRight w:val="0"/>
          <w:marTop w:val="0"/>
          <w:marBottom w:val="0"/>
          <w:divBdr>
            <w:top w:val="single" w:sz="2" w:space="0" w:color="auto"/>
            <w:left w:val="single" w:sz="2" w:space="0" w:color="auto"/>
            <w:bottom w:val="single" w:sz="2" w:space="0" w:color="auto"/>
            <w:right w:val="single" w:sz="2" w:space="0" w:color="auto"/>
          </w:divBdr>
        </w:div>
        <w:div w:id="800340835">
          <w:marLeft w:val="0"/>
          <w:marRight w:val="0"/>
          <w:marTop w:val="0"/>
          <w:marBottom w:val="0"/>
          <w:divBdr>
            <w:top w:val="single" w:sz="2" w:space="0" w:color="auto"/>
            <w:left w:val="single" w:sz="2" w:space="0" w:color="auto"/>
            <w:bottom w:val="single" w:sz="2" w:space="0" w:color="auto"/>
            <w:right w:val="single" w:sz="2" w:space="0" w:color="auto"/>
          </w:divBdr>
        </w:div>
        <w:div w:id="1824084678">
          <w:marLeft w:val="0"/>
          <w:marRight w:val="0"/>
          <w:marTop w:val="0"/>
          <w:marBottom w:val="0"/>
          <w:divBdr>
            <w:top w:val="single" w:sz="2" w:space="0" w:color="auto"/>
            <w:left w:val="single" w:sz="2" w:space="0" w:color="auto"/>
            <w:bottom w:val="single" w:sz="2" w:space="0" w:color="auto"/>
            <w:right w:val="single" w:sz="2" w:space="0" w:color="auto"/>
          </w:divBdr>
        </w:div>
        <w:div w:id="96677444">
          <w:marLeft w:val="0"/>
          <w:marRight w:val="0"/>
          <w:marTop w:val="0"/>
          <w:marBottom w:val="0"/>
          <w:divBdr>
            <w:top w:val="single" w:sz="2" w:space="0" w:color="auto"/>
            <w:left w:val="single" w:sz="2" w:space="0" w:color="auto"/>
            <w:bottom w:val="single" w:sz="2" w:space="0" w:color="auto"/>
            <w:right w:val="single" w:sz="2" w:space="0" w:color="auto"/>
          </w:divBdr>
        </w:div>
        <w:div w:id="2015691475">
          <w:marLeft w:val="0"/>
          <w:marRight w:val="0"/>
          <w:marTop w:val="0"/>
          <w:marBottom w:val="0"/>
          <w:divBdr>
            <w:top w:val="single" w:sz="2" w:space="0" w:color="auto"/>
            <w:left w:val="single" w:sz="2" w:space="0" w:color="auto"/>
            <w:bottom w:val="single" w:sz="2" w:space="0" w:color="auto"/>
            <w:right w:val="single" w:sz="2" w:space="0" w:color="auto"/>
          </w:divBdr>
        </w:div>
        <w:div w:id="177192588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2024-10-03T08:38:00Z</dcterms:created>
  <dcterms:modified xsi:type="dcterms:W3CDTF">2024-10-03T08:42:00Z</dcterms:modified>
</cp:coreProperties>
</file>